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0" w:rsidRPr="007D19E1" w:rsidRDefault="00585950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53052" w:rsidRPr="00B230A3" w:rsidRDefault="00153052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2318BA" w:rsidRPr="001D12CC" w:rsidRDefault="00165403" w:rsidP="005E5D17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9.1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983E93" w:rsidRPr="004F1324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1D12CC" w:rsidRPr="004F1324" w:rsidTr="008C36DB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1D12CC" w:rsidRPr="002727A6" w:rsidRDefault="001D12CC" w:rsidP="008C36DB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1D12CC" w:rsidRPr="004F1324" w:rsidTr="008C36DB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1D12CC" w:rsidRDefault="001D12CC" w:rsidP="001D12CC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1D12CC" w:rsidRPr="004F1324" w:rsidTr="008C36DB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1D12CC" w:rsidRPr="004F1324" w:rsidRDefault="001D12CC" w:rsidP="001D12CC">
            <w:pPr>
              <w:widowControl w:val="0"/>
              <w:ind w:left="-57" w:right="-57"/>
              <w:jc w:val="center"/>
            </w:pPr>
            <w:r>
              <w:t>O1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1D12CC" w:rsidRPr="004F1324" w:rsidRDefault="001D12CC" w:rsidP="001D12CC">
            <w:pPr>
              <w:widowControl w:val="0"/>
            </w:pPr>
            <w:r w:rsidRPr="004F1324">
              <w:rPr>
                <w:cs/>
              </w:rPr>
              <w:t>โครงสร้าง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1D12CC" w:rsidRDefault="001D12CC" w:rsidP="001D1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แสดงแผนผังแสดงโครงสร้างการแบ่ง</w:t>
            </w:r>
            <w:r>
              <w:br/>
            </w:r>
            <w:r w:rsidRPr="004F1324">
              <w:rPr>
                <w:rFonts w:hint="cs"/>
                <w:cs/>
              </w:rPr>
              <w:t>ส่วนราชการของหน่วยงาน</w:t>
            </w:r>
          </w:p>
          <w:p w:rsidR="001D12CC" w:rsidRDefault="001D12CC" w:rsidP="001D1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CD2F41">
              <w:rPr>
                <w:cs/>
              </w:rPr>
              <w:t>แสดงตำแหน่งที่สำคัญและการแบ่งส่วนงานภายใน ยกตัวอย่าง</w:t>
            </w:r>
            <w:r>
              <w:rPr>
                <w:rFonts w:hint="cs"/>
                <w:cs/>
              </w:rPr>
              <w:t xml:space="preserve"> </w:t>
            </w:r>
            <w:r w:rsidRPr="00CD2F41">
              <w:rPr>
                <w:cs/>
              </w:rPr>
              <w:t>เช่น สำนัก กอง ศูนย์ ฝ่าย ส่วน กล</w:t>
            </w:r>
            <w:r>
              <w:rPr>
                <w:rFonts w:hint="cs"/>
                <w:cs/>
              </w:rPr>
              <w:t>ุ่</w:t>
            </w:r>
            <w:r>
              <w:rPr>
                <w:cs/>
              </w:rPr>
              <w:t>ม</w:t>
            </w:r>
            <w:r w:rsidRPr="00CD2F41">
              <w:rPr>
                <w:cs/>
              </w:rPr>
              <w:t xml:space="preserve"> เป็นต้น</w:t>
            </w:r>
          </w:p>
          <w:p w:rsidR="001D12CC" w:rsidRPr="00CD2F41" w:rsidRDefault="001D12CC" w:rsidP="001D12CC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9B02EF">
              <w:rPr>
                <w:rFonts w:hint="cs"/>
                <w:color w:val="4BACC6" w:themeColor="accent5"/>
                <w:sz w:val="28"/>
                <w:szCs w:val="28"/>
                <w:cs/>
              </w:rPr>
              <w:t>*กรณีองค์กรปกครองส่วนท้องถิ่นให้แสดงแผนผังโครงสร้าง ทั้งฝ่ายการเมืองและฝ่ายข้าราชการประจำ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1D12CC" w:rsidRPr="002727A6" w:rsidRDefault="00294571" w:rsidP="001D1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9" w:history="1">
              <w:r w:rsidR="001D12CC" w:rsidRPr="00644436">
                <w:rPr>
                  <w:rStyle w:val="Hyperlink"/>
                </w:rPr>
                <w:t>https://www.nesdc.go.th/main.php?%20filename=nesdb_structure</w:t>
              </w:r>
            </w:hyperlink>
            <w:r w:rsidR="001D12CC">
              <w:rPr>
                <w:rFonts w:hint="cs"/>
                <w:color w:val="009242"/>
                <w:cs/>
              </w:rPr>
              <w:t xml:space="preserve"> </w:t>
            </w:r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1D12CC" w:rsidRPr="008C36DB" w:rsidRDefault="001D12CC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1C03A5">
              <w:rPr>
                <w:color w:val="0000CC"/>
                <w:cs/>
              </w:rPr>
              <w:t>โครงสร้างการแบ่งส่วนราชการ</w:t>
            </w:r>
            <w:r w:rsidR="00585950">
              <w:rPr>
                <w:color w:val="0000CC"/>
                <w:cs/>
              </w:rPr>
              <w:br/>
            </w:r>
            <w:r w:rsidRPr="001C03A5">
              <w:rPr>
                <w:color w:val="0000CC"/>
                <w:cs/>
              </w:rPr>
              <w:t>ภายในส</w:t>
            </w:r>
            <w:r>
              <w:rPr>
                <w:rFonts w:hint="cs"/>
                <w:color w:val="0000CC"/>
                <w:cs/>
              </w:rPr>
              <w:t>ำ</w:t>
            </w:r>
            <w:r w:rsidRPr="001C03A5">
              <w:rPr>
                <w:color w:val="0000CC"/>
                <w:cs/>
              </w:rPr>
              <w:t>นักงานสภาพัฒนาการเศรษฐกิจ</w:t>
            </w:r>
            <w:r w:rsidR="00585950">
              <w:rPr>
                <w:color w:val="0000CC"/>
                <w:cs/>
              </w:rPr>
              <w:br/>
            </w:r>
            <w:r w:rsidRPr="001C03A5">
              <w:rPr>
                <w:color w:val="0000CC"/>
                <w:cs/>
              </w:rPr>
              <w:t>และสังคมแห่งชาติ</w:t>
            </w:r>
            <w:r w:rsidRPr="001C03A5">
              <w:rPr>
                <w:rFonts w:hint="cs"/>
                <w:color w:val="0000CC"/>
                <w:cs/>
              </w:rPr>
              <w:t xml:space="preserve"> </w:t>
            </w:r>
            <w:r>
              <w:rPr>
                <w:color w:val="0000CC"/>
                <w:cs/>
              </w:rPr>
              <w:br/>
            </w:r>
            <w:r w:rsidRPr="001C03A5">
              <w:rPr>
                <w:rFonts w:hint="cs"/>
                <w:color w:val="0000CC"/>
                <w:cs/>
              </w:rPr>
              <w:t>***อัพเดท</w:t>
            </w:r>
            <w:r>
              <w:rPr>
                <w:rFonts w:hint="cs"/>
                <w:color w:val="0000CC"/>
                <w:cs/>
              </w:rPr>
              <w:t>เมื่อ</w:t>
            </w:r>
            <w:r w:rsidRPr="001C03A5">
              <w:rPr>
                <w:rFonts w:hint="cs"/>
                <w:color w:val="0000CC"/>
                <w:cs/>
              </w:rPr>
              <w:t xml:space="preserve"> 19 เมษายน 2564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3A65D3" w:rsidRDefault="001D12CC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D96644">
              <w:rPr>
                <w:rFonts w:hint="cs"/>
                <w:color w:val="00B050"/>
                <w:cs/>
              </w:rPr>
              <w:t>บค./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</w:p>
          <w:p w:rsidR="001D12CC" w:rsidRPr="00D96644" w:rsidRDefault="003A65D3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>
              <w:rPr>
                <w:rFonts w:hint="cs"/>
                <w:color w:val="00B050"/>
                <w:cs/>
              </w:rPr>
              <w:t>ศทส.</w:t>
            </w:r>
            <w:r w:rsidR="001D12CC" w:rsidRPr="00D96644">
              <w:rPr>
                <w:rFonts w:hint="cs"/>
                <w:color w:val="00B050"/>
                <w:cs/>
              </w:rPr>
              <w:t>.</w:t>
            </w:r>
          </w:p>
        </w:tc>
      </w:tr>
    </w:tbl>
    <w:p w:rsidR="00165403" w:rsidRPr="007D19E1" w:rsidRDefault="00165403" w:rsidP="007D19E1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D19E1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ตัวชี้วัดย่อยที่ 9.4 การบริหารและพัฒนาทรัพยากรบุคคล</w:t>
      </w:r>
      <w:r w:rsidR="00D22735" w:rsidRPr="007D19E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B78B3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B78B3" w:rsidRPr="002727A6" w:rsidRDefault="008B78B3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B78B3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B78B3" w:rsidRDefault="008B78B3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C96C9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96C99" w:rsidRPr="004F1324" w:rsidRDefault="00C96C99" w:rsidP="00CC3F00">
            <w:pPr>
              <w:widowControl w:val="0"/>
              <w:ind w:left="-120" w:right="-113"/>
              <w:jc w:val="center"/>
            </w:pPr>
            <w:r w:rsidRPr="00DF7CF3">
              <w:rPr>
                <w:highlight w:val="yellow"/>
              </w:rPr>
              <w:t>o25</w:t>
            </w:r>
          </w:p>
        </w:tc>
        <w:tc>
          <w:tcPr>
            <w:tcW w:w="616" w:type="pct"/>
            <w:shd w:val="clear" w:color="auto" w:fill="auto"/>
          </w:tcPr>
          <w:p w:rsidR="00C96C99" w:rsidRPr="004F1324" w:rsidRDefault="00C96C99" w:rsidP="00CC3F00">
            <w:pPr>
              <w:widowControl w:val="0"/>
            </w:pPr>
            <w:r w:rsidRPr="004F1324">
              <w:rPr>
                <w:cs/>
              </w:rPr>
              <w:t>นโยบายการบริหารทรัพยากรบุคคล</w:t>
            </w:r>
          </w:p>
        </w:tc>
        <w:tc>
          <w:tcPr>
            <w:tcW w:w="1231" w:type="pct"/>
          </w:tcPr>
          <w:p w:rsidR="00C96C99" w:rsidRPr="00B67F07" w:rsidRDefault="00C96C99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color w:val="000000" w:themeColor="text1"/>
                <w:cs/>
              </w:rPr>
              <w:t>เป็นนโยบายหรือแผนการบริหารและพัฒนาทรัพยากรบุคคล</w:t>
            </w:r>
            <w:r w:rsidRPr="00530B95">
              <w:rPr>
                <w:color w:val="FF0000"/>
                <w:cs/>
              </w:rPr>
              <w:t>ที่ยังใช้บังคับในหน่วยงานในปี พ.ศ. 2565</w:t>
            </w:r>
          </w:p>
          <w:p w:rsidR="00C96C99" w:rsidRPr="00B67F07" w:rsidRDefault="00C96C99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rFonts w:hint="cs"/>
                <w:color w:val="000000" w:themeColor="text1"/>
                <w:cs/>
              </w:rPr>
              <w:t>แสดงนโยบายของผู้บริหารสูงสุด</w:t>
            </w:r>
            <w:r w:rsidRPr="00B67F07">
              <w:rPr>
                <w:color w:val="000000" w:themeColor="text1"/>
              </w:rPr>
              <w:t xml:space="preserve"> </w:t>
            </w:r>
            <w:r w:rsidRPr="00B67F07">
              <w:rPr>
                <w:rFonts w:hint="cs"/>
                <w:color w:val="000000" w:themeColor="text1"/>
                <w:cs/>
              </w:rPr>
              <w:t>หรือแผนการบริหารและพัฒนาทรัพยากรบุคคลที่กำหนดในนามของหน่วยงาน</w:t>
            </w:r>
          </w:p>
        </w:tc>
        <w:tc>
          <w:tcPr>
            <w:tcW w:w="1195" w:type="pct"/>
          </w:tcPr>
          <w:p w:rsidR="00C96C99" w:rsidRPr="001841FF" w:rsidRDefault="00C96C99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726F2CE" wp14:editId="1C3D956A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784225</wp:posOffset>
                      </wp:positionV>
                      <wp:extent cx="2009553" cy="552450"/>
                      <wp:effectExtent l="0" t="0" r="1016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553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8B78B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ว่าข้อนี้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ให้ตอบแบบนี้หรือเปล่า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.65pt;margin-top:61.75pt;width:158.25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YhdAIAADIFAAAOAAAAZHJzL2Uyb0RvYy54bWysVN9v0zAQfkfif7D8ztKWBli1dCqbhpCm&#10;bWJDe3Yde42wfca+Nil/PWenycboE+Ilse/3ffedz847a9hOhdiAq/j0ZMKZchLqxj1V/PvD1btP&#10;nEUUrhYGnKr4XkV+vnz75qz1CzWDDZhaBUZBXFy0vuIbRL8oiig3yop4Al45UmoIViBdw1NRB9FS&#10;dGuK2WTyoWgh1D6AVDGS9LJX8mWOr7WSeKt1VMhMxak2zN+Qv+v0LZZnYvEUhN808lCG+IcqrGgc&#10;JR1DXQoUbBuav0LZRgaIoPFEgi1A60aq3AN1M5286uZ+I7zKvRA40Y8wxf8XVt7s7gJr6orPOXPC&#10;0ogeVIfsM3RsntBpfVyQ0b0nM+xITFMe5JGEqelOB5v+1A4jPeG8H7FNwSQJaVinZfmeM0m6spzN&#10;ywx+8eztQ8QvCixLh4oHml2GVOyuI1IlZDqYpGTGJVkqry8jn3BvVK/8pjS1lRLnIJlQ6sIEthNE&#10;BSGlcjhLjVBY48g6uenGmNFxeszRYO6enA62yU1loo2Ok2OOf2YcPXJWcDg628ZBOBag/jFm7u2H&#10;7vueU/vYrbs8y3KY0BrqPQ0uQE/86OVVQ+hei4h3IhDTaVa0vXhLH22grTgcTpxtIPw6Jk/2REDS&#10;ctbS5lQ8/tyKoDgzXx1R83Q6n6dVy5d5+XFGl/BSs36pcVt7ATSRKb0TXuZjskczHHUA+0hLvkpZ&#10;SSWcpNwVx+F4gf0+0yMh1WqVjWi5vMBrd+9lCp1QTtx56B5F8AeCIVHzBoYdE4tXPOttk6eD1RZB&#10;N5mECece1QP+tJiZRIdHJG3+y3u2en7qlr8BAAD//wMAUEsDBBQABgAIAAAAIQDhsNPc4AAAAAoB&#10;AAAPAAAAZHJzL2Rvd25yZXYueG1sTI/LTsMwEEX3SPyDNUjsqBOH8ghxKoTEBtFFS4XUnRubOKo9&#10;DrHThL9nWJXlzBzdObdazd6xkxliF1BCvsiAGWyC7rCVsPt4vXkAFpNCrVxAI+HHRFjVlxeVKnWY&#10;cGNO29QyCsFYKgk2pb7kPDbWeBUXoTdIt68weJVoHFquBzVRuHdcZNkd96pD+mBVb16saY7b0UtA&#10;sf8ePx/f9sfdZL1YW/vu1hspr6/m5ydgyczpDMOfPqlDTU6HMKKOzEko8oJI2otiCYyA4vaeuhwk&#10;iDxbAq8r/r9C/QsAAP//AwBQSwECLQAUAAYACAAAACEAtoM4kv4AAADhAQAAEwAAAAAAAAAAAAAA&#10;AAAAAAAAW0NvbnRlbnRfVHlwZXNdLnhtbFBLAQItABQABgAIAAAAIQA4/SH/1gAAAJQBAAALAAAA&#10;AAAAAAAAAAAAAC8BAABfcmVscy8ucmVsc1BLAQItABQABgAIAAAAIQDEP3YhdAIAADIFAAAOAAAA&#10;AAAAAAAAAAAAAC4CAABkcnMvZTJvRG9jLnhtbFBLAQItABQABgAIAAAAIQDhsNPc4AAAAAoBAAAP&#10;AAAAAAAAAAAAAAAAAM4EAABkcnMvZG93bnJldi54bWxQSwUGAAAAAAQABADzAAAA2wUAAAAA&#10;" fillcolor="white [3201]" strokecolor="#c0504d [3205]" strokeweight="2pt">
                      <v:textbox>
                        <w:txbxContent>
                          <w:p w:rsidR="00C96C99" w:rsidRPr="00BD5C08" w:rsidRDefault="00C96C99" w:rsidP="008B78B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ว่าข้อนี้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ให้ตอบแบบนี้หรือเปล่า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5720">
              <w:rPr>
                <w:rStyle w:val="Hyperlink"/>
                <w:highlight w:val="yellow"/>
              </w:rPr>
              <w:t>https://www.nesdc.go.th/article_attach/article_file_</w:t>
            </w:r>
            <w:r w:rsidRPr="00075720">
              <w:rPr>
                <w:rStyle w:val="Hyperlink"/>
                <w:highlight w:val="yellow"/>
                <w:cs/>
              </w:rPr>
              <w:t>20210422113627.</w:t>
            </w:r>
            <w:r w:rsidRPr="00075720">
              <w:rPr>
                <w:rStyle w:val="Hyperlink"/>
                <w:highlight w:val="yellow"/>
              </w:rPr>
              <w:t>pdf</w:t>
            </w:r>
            <w:r>
              <w:t xml:space="preserve"> </w:t>
            </w:r>
            <w:r>
              <w:rPr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</w:p>
          <w:p w:rsidR="00C96C99" w:rsidRDefault="00C96C99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" w:history="1">
              <w:r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C96C99" w:rsidRPr="000C3C67" w:rsidRDefault="00C96C99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B67F07">
              <w:rPr>
                <w:rStyle w:val="Hyperlink"/>
              </w:rPr>
              <w:t>https://www.nesdc.go.th/ewt_dl_link.php?nid=10397</w:t>
            </w:r>
          </w:p>
        </w:tc>
        <w:tc>
          <w:tcPr>
            <w:tcW w:w="1323" w:type="pct"/>
          </w:tcPr>
          <w:p w:rsidR="00C96C99" w:rsidRPr="008B78B3" w:rsidRDefault="00C96C99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8B78B3">
              <w:rPr>
                <w:rFonts w:hint="cs"/>
                <w:color w:val="0000CC"/>
                <w:highlight w:val="yellow"/>
                <w:cs/>
              </w:rPr>
              <w:t>ประกาศ สศช. เรื่องนโยบายการบริหารทรัพยากรบุคคล</w:t>
            </w:r>
            <w:r w:rsidRPr="008B78B3">
              <w:rPr>
                <w:color w:val="0000CC"/>
                <w:highlight w:val="yellow"/>
              </w:rPr>
              <w:t xml:space="preserve">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ทั้งนี้ สศช. ได้เผยแพร่ประกาศดังกล่าวให้ประชาคม สศช. ได้ทราบผ่านช่องทาง </w:t>
            </w:r>
            <w:r w:rsidRPr="008B78B3">
              <w:rPr>
                <w:color w:val="0000CC"/>
                <w:highlight w:val="yellow"/>
              </w:rPr>
              <w:t xml:space="preserve">Email all user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พร้อมทั้งเผยแพร่เอกสารใน </w:t>
            </w:r>
            <w:r w:rsidRPr="008B78B3">
              <w:rPr>
                <w:color w:val="0000CC"/>
                <w:highlight w:val="yellow"/>
              </w:rPr>
              <w:t>KM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 ขององค์กร ที่ </w:t>
            </w:r>
            <w:r w:rsidRPr="008B78B3">
              <w:rPr>
                <w:color w:val="0000CC"/>
                <w:highlight w:val="yellow"/>
              </w:rPr>
              <w:t>“http://webkm.nesdb.go.th/Announced/</w:t>
            </w:r>
            <w:hyperlink r:id="rId11" w:history="1">
              <w:r w:rsidRPr="008B78B3">
                <w:rPr>
                  <w:color w:val="0000CC"/>
                  <w:highlight w:val="yellow"/>
                  <w:cs/>
                </w:rPr>
                <w:t>นโยบายบริหารทรัพยากรบุคคล.</w:t>
              </w:r>
              <w:r w:rsidRPr="008B78B3">
                <w:rPr>
                  <w:color w:val="0000CC"/>
                  <w:highlight w:val="yellow"/>
                </w:rPr>
                <w:t>pdf</w:t>
              </w:r>
            </w:hyperlink>
            <w:r w:rsidRPr="008B78B3">
              <w:rPr>
                <w:rFonts w:hint="cs"/>
                <w:color w:val="0000CC"/>
                <w:highlight w:val="yellow"/>
                <w:cs/>
              </w:rPr>
              <w:t xml:space="preserve">” 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โดยประกาศ ณ วันที่ 20 เมษายน 2564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>ซึ่งยังคงบังคับใช้อยู่จนถึงปัจจุบัน</w:t>
            </w:r>
          </w:p>
          <w:p w:rsidR="00C96C99" w:rsidRPr="008B78B3" w:rsidRDefault="00C96C99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B78B3">
              <w:rPr>
                <w:color w:val="0000CC"/>
                <w:cs/>
              </w:rPr>
              <w:t>แผนพัฒนาบุคลากร</w:t>
            </w:r>
            <w:r w:rsidRPr="008B78B3">
              <w:rPr>
                <w:color w:val="0000CC"/>
              </w:rPr>
              <w:br/>
            </w:r>
          </w:p>
          <w:p w:rsidR="00C96C99" w:rsidRPr="008B78B3" w:rsidRDefault="00C96C99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B78B3">
              <w:rPr>
                <w:color w:val="0000CC"/>
                <w:cs/>
              </w:rPr>
              <w:t>แผนกลยุทธ์การบริหารทรัพยากรบุคคล ประจำปี พ.ศ.2561-256</w:t>
            </w:r>
            <w:r w:rsidRPr="008B78B3">
              <w:rPr>
                <w:rFonts w:hint="cs"/>
                <w:color w:val="0000CC"/>
                <w:cs/>
              </w:rPr>
              <w:t>4</w:t>
            </w:r>
          </w:p>
        </w:tc>
        <w:tc>
          <w:tcPr>
            <w:tcW w:w="503" w:type="pct"/>
          </w:tcPr>
          <w:p w:rsidR="00C96C9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C96C99" w:rsidRPr="005238E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C96C9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96C99" w:rsidRPr="004F1324" w:rsidRDefault="00C96C99" w:rsidP="00CC3F00">
            <w:pPr>
              <w:widowControl w:val="0"/>
              <w:ind w:left="-120" w:right="-113"/>
              <w:jc w:val="center"/>
            </w:pPr>
            <w:r w:rsidRPr="00DF7CF3">
              <w:rPr>
                <w:highlight w:val="yellow"/>
              </w:rPr>
              <w:t>o26</w:t>
            </w:r>
          </w:p>
        </w:tc>
        <w:tc>
          <w:tcPr>
            <w:tcW w:w="616" w:type="pct"/>
            <w:shd w:val="clear" w:color="auto" w:fill="auto"/>
          </w:tcPr>
          <w:p w:rsidR="00C96C99" w:rsidRPr="004F1324" w:rsidRDefault="00C96C99" w:rsidP="00CC3F00">
            <w:pPr>
              <w:widowControl w:val="0"/>
            </w:pPr>
            <w:r w:rsidRPr="004F1324">
              <w:rPr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1231" w:type="pct"/>
          </w:tcPr>
          <w:p w:rsidR="00C96C99" w:rsidRPr="009F21C7" w:rsidRDefault="00C96C99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color w:val="000000" w:themeColor="text1"/>
                <w:cs/>
              </w:rPr>
              <w:t xml:space="preserve"> </w:t>
            </w:r>
            <w:r w:rsidRPr="009F21C7">
              <w:rPr>
                <w:rFonts w:hint="cs"/>
                <w:color w:val="000000" w:themeColor="text1"/>
                <w:cs/>
              </w:rPr>
              <w:t xml:space="preserve">แสดงการดำเนินการที่มีความสอดคล้องรับตามนโยบายหรือแผนการบริหารและพัฒนาทรัพยากรบุคคลในข้อ </w:t>
            </w:r>
            <w:r w:rsidRPr="009F21C7">
              <w:rPr>
                <w:color w:val="000000" w:themeColor="text1"/>
              </w:rPr>
              <w:t>O25</w:t>
            </w:r>
          </w:p>
          <w:p w:rsidR="00C96C99" w:rsidRPr="009F21C7" w:rsidRDefault="00C96C99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rFonts w:hint="cs"/>
                <w:color w:val="FF0000"/>
                <w:cs/>
              </w:rPr>
              <w:t>เป็นการดำเนินการในปี พ.ศ. 2565</w:t>
            </w:r>
          </w:p>
        </w:tc>
        <w:tc>
          <w:tcPr>
            <w:tcW w:w="1195" w:type="pct"/>
          </w:tcPr>
          <w:p w:rsidR="00C96C99" w:rsidRPr="00DF7CF3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12" w:history="1">
              <w:r w:rsidRPr="00DF7CF3">
                <w:rPr>
                  <w:rStyle w:val="Hyperlink"/>
                  <w:highlight w:val="yellow"/>
                </w:rPr>
                <w:t>https://www.nesdc.go.th/ewt_dl_link.php?nid=10397</w:t>
              </w:r>
            </w:hyperlink>
          </w:p>
          <w:p w:rsidR="00C96C99" w:rsidRPr="00B56AE8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13" w:history="1">
              <w:r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C96C99" w:rsidRPr="00E03F86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ind w:left="338"/>
              <w:rPr>
                <w:rStyle w:val="Hyperlink"/>
                <w:highlight w:val="lightGray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199CF6A" wp14:editId="04B6C91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487045</wp:posOffset>
                      </wp:positionV>
                      <wp:extent cx="2327791" cy="308344"/>
                      <wp:effectExtent l="0" t="0" r="15875" b="158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7791" cy="3083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924EA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./พบ. ขอข้อมูลปี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.2pt;margin-top:38.35pt;width:183.3pt;height:24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L/cgIAADIFAAAOAAAAZHJzL2Uyb0RvYy54bWysVEtPGzEQvlfqf7B8L5uElEfEBqUgqkoI&#10;UKHi7Hhtsqrtce1JdtNfz9i7WVKaU9WL15755v3NXly21rCNCrEGV/Lx0Ygz5SRUtXsp+Y+nm09n&#10;nEUUrhIGnCr5VkV+Of/44aLxMzWBFZhKBUZOXJw1vuQrRD8riihXyop4BF45UmoIViA9w0tRBdGQ&#10;d2uKyWh0UjQQKh9AqhhJet0p+Tz711pJvNc6KmSm5JQb5jPkc5nOYn4hZi9B+FUt+zTEP2RhRe0o&#10;6ODqWqBg61D/5crWMkAEjUcSbAFa11LlGqia8ehdNY8r4VWuhZoT/dCm+P/cyrvNQ2B1VfITzpyw&#10;NKIn1SL7Ai07Sd1pfJwR6NETDFsS05R38kjCVHSrg01fKoeRnvq8HXqbnEkSTo4np6fnY84k6Y5H&#10;Z8fTaXJTvFn7EPGrAsvSpeSBZpdbKja3ETvoDpKCGZdkKb0ujXzDrVGd8rvSVFYKnJ1kQqkrE9hG&#10;EBWElMrhpM/AOEInM10bMxiODxkazNVT2j02malMtMFwdMjwz4iDRY4KDgdjWzsIhxxUP4fIHX5X&#10;fVdzKh/bZZtnmVubJEuotjS4AB3xo5c3NXX3VkR8EIGYTrOi7cV7OrSBpuTQ3zhbQfh9SJ7wREDS&#10;ctbQ5pQ8/lqLoDgz3xxR83w8naZVy4/p59MJPcK+ZrmvcWt7BTQRYgZll68Jj2Z31QHsMy35IkUl&#10;lXCSYpccd9cr7PaZfhJSLRYZRMvlBd66Ry+T69TlxJ2n9lkE3xMMiZp3sNsxMXvHsw6bLB0s1gi6&#10;ziR862rff1rMTOP+J5I2f/+dUW+/uvkrAAAA//8DAFBLAwQUAAYACAAAACEA69lNdN4AAAAIAQAA&#10;DwAAAGRycy9kb3ducmV2LnhtbEyPwU7DMBBE70j8g7VI3KhDAgkNcSqExAXRQ0uF1Jsbu3FUex1i&#10;pwl/z3Iqx9U8zb6pVrOz7KyH0HkUcL9IgGlsvOqwFbD7fLt7AhaiRCWtRy3gRwdY1ddXlSyVn3Cj&#10;z9vYMirBUEoBJsa+5Dw0RjsZFr7XSNnRD05GOoeWq0FOVO4sT5Mk5052SB+M7PWr0c1pOzoBmO6/&#10;x6/l+/60m4xL18Z82PVGiNub+eUZWNRzvMDwp0/qUJPTwY+oArMC8gcCBRR5AYzirMho2oG49DED&#10;Xlf8/4D6FwAA//8DAFBLAQItABQABgAIAAAAIQC2gziS/gAAAOEBAAATAAAAAAAAAAAAAAAAAAAA&#10;AABbQ29udGVudF9UeXBlc10ueG1sUEsBAi0AFAAGAAgAAAAhADj9If/WAAAAlAEAAAsAAAAAAAAA&#10;AAAAAAAALwEAAF9yZWxzLy5yZWxzUEsBAi0AFAAGAAgAAAAhAFT04v9yAgAAMgUAAA4AAAAAAAAA&#10;AAAAAAAALgIAAGRycy9lMm9Eb2MueG1sUEsBAi0AFAAGAAgAAAAhAOvZTXTeAAAACAEAAA8AAAAA&#10;AAAAAAAAAAAAzAQAAGRycy9kb3ducmV2LnhtbFBLBQYAAAAABAAEAPMAAADXBQAAAAA=&#10;" fillcolor="white [3201]" strokecolor="#c0504d [3205]" strokeweight="2pt">
                      <v:textbox>
                        <w:txbxContent>
                          <w:p w:rsidR="00C96C99" w:rsidRPr="00BD5C08" w:rsidRDefault="00C96C99" w:rsidP="00924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./พบ. ขอข้อมูลปี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4" w:history="1">
              <w:r w:rsidRPr="00DF7CF3">
                <w:rPr>
                  <w:rStyle w:val="Hyperlink"/>
                  <w:highlight w:val="yellow"/>
                </w:rPr>
                <w:t>https://www.nesdc.go.th/article_attach/article_file_20210506162140.pdf</w:t>
              </w:r>
            </w:hyperlink>
            <w:r w:rsidRPr="00DF7CF3">
              <w:rPr>
                <w:rFonts w:hint="cs"/>
                <w:highlight w:val="yellow"/>
                <w:cs/>
              </w:rPr>
              <w:t xml:space="preserve"> </w:t>
            </w:r>
            <w:r w:rsidRPr="00DF7CF3">
              <w:rPr>
                <w:rStyle w:val="Hyperlink"/>
                <w:highlight w:val="yellow"/>
              </w:rPr>
              <w:br/>
            </w:r>
          </w:p>
          <w:p w:rsidR="00C96C99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5" w:history="1">
              <w:r w:rsidRPr="00AA5F59">
                <w:rPr>
                  <w:rStyle w:val="Hyperlink"/>
                </w:rPr>
                <w:t>https://www.nesdc.go.th/more_news.php?cid=</w:t>
              </w:r>
              <w:r w:rsidRPr="00AA5F59">
                <w:rPr>
                  <w:rStyle w:val="Hyperlink"/>
                  <w:cs/>
                </w:rPr>
                <w:t>12</w:t>
              </w:r>
            </w:hyperlink>
            <w:r>
              <w:rPr>
                <w:rStyle w:val="Hyperlink"/>
                <w:rFonts w:hint="cs"/>
                <w:cs/>
              </w:rPr>
              <w:br/>
            </w:r>
          </w:p>
          <w:p w:rsidR="00C96C99" w:rsidRPr="00CE705B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34C1D16" wp14:editId="4A04DC1F">
                      <wp:simplePos x="0" y="0"/>
                      <wp:positionH relativeFrom="column">
                        <wp:posOffset>-1772920</wp:posOffset>
                      </wp:positionH>
                      <wp:positionV relativeFrom="paragraph">
                        <wp:posOffset>14605</wp:posOffset>
                      </wp:positionV>
                      <wp:extent cx="1587500" cy="552450"/>
                      <wp:effectExtent l="0" t="0" r="1270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552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อัพไฟล์จากเวียน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เมล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  <w:t xml:space="preserve">ฝากไฟล์ใส่เว็บ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ศปท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-139.6pt;margin-top:1.15pt;width:12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efjAIAAGwFAAAOAAAAZHJzL2Uyb0RvYy54bWysVEtvEzEQviPxHyzf6W5CQkrUTRVSFSFV&#10;tKJFPTteO7GwPcZ2sht+PWNvdhtKToiLXzPzjeebx9V1azTZCx8U2IqOLkpKhOVQK7up6Pen23eX&#10;lITIbM00WFHRgwj0evH2zVXj5mIMW9C18ARBbJg3rqLbGN28KALfCsPCBThhUSjBGxbx6jdF7VmD&#10;6EYX47L8UDTga+eBixDw9aYT0kXGl1LweC9lEJHoiuLfYl59XtdpLRZXbL7xzG0VP36D/cMvDFMW&#10;nQ5QNywysvPqLyijuIcAMl5wMAVIqbjIMWA0o/JVNI9b5kSOBckJbqAp/D9Y/nX/4ImqKzqjxDKD&#10;KXoSbSSfoCWzxE7jwhyVHh2qxRafMcv9e8DHFHQrvUk7hkNQjjwfBm4TGE9G08vZtEQRR9l0Op5M&#10;M/nFi7XzIX4WYEg6VNRj7jKlbH8XIv4EVXuV5EzbtAbQqr5VWueL36xX2pM9S9kuZ+Wq93GihjDJ&#10;tEiBdQHkUzxo0cF+ExIJwS+Ps/tcimKAZZwLG8eJgoyE2slM4hcGw9E5Qx0zb2h01E1mIpfoYFie&#10;M/zT42CRvYKNg7FRFvw5gPrH4LnT76PvYk7hx3bd5ip43+d2DfUBU+6ha5ng+K3CvNyxEB+Yxx7B&#10;VGLfx3tcpIamonA8UbIF/+vce9LH0kUpJQ32XEXDzx3zghL9xWJRfxxNJqlJ82UynY3x4k8l61OJ&#10;3ZkVYKJHOGEcz8ekH3V/lB7MM46HZfKKImY5+q5o7I+r2E0CHC9cLJdZCdvSsXhnHx1P0InlVHVP&#10;7TPz7liaEYv6K/TdyeavKrTTTZYWlrsIUuXyTTx3rB75x5bORXQcP2lmnN6z1suQXPwGAAD//wMA&#10;UEsDBBQABgAIAAAAIQASIvMb3gAAAAkBAAAPAAAAZHJzL2Rvd25yZXYueG1sTI8xT8MwEIV3JP6D&#10;dUgsKHVwJWhDLhVCimBhaMvC5sRHEtU+R7Hbpv8ed4Lx6T699125mZ0VJ5rC4BnhcZGDIG69GbhD&#10;+NrX2QpEiJqNtp4J4UIBNtXtTakL48+8pdMudiKVcCg0Qh/jWEgZ2p6cDgs/Eqfbj5+cjilOnTST&#10;PqdyZ6XK8yfp9MBpodcjvfXUHnZHh7BtPqw6XKysvzszfPa2zt8fasT7u/n1BUSkOf7BcNVP6lAl&#10;p8Yf2QRhETL1vFaJRVBLEAnI1DU3CKv1EmRVyv8fVL8AAAD//wMAUEsBAi0AFAAGAAgAAAAhALaD&#10;OJL+AAAA4QEAABMAAAAAAAAAAAAAAAAAAAAAAFtDb250ZW50X1R5cGVzXS54bWxQSwECLQAUAAYA&#10;CAAAACEAOP0h/9YAAACUAQAACwAAAAAAAAAAAAAAAAAvAQAAX3JlbHMvLnJlbHNQSwECLQAUAAYA&#10;CAAAACEAicbXn4wCAABsBQAADgAAAAAAAAAAAAAAAAAuAgAAZHJzL2Uyb0RvYy54bWxQSwECLQAU&#10;AAYACAAAACEAEiLzG94AAAAJAQAADwAAAAAAAAAAAAAAAADmBAAAZHJzL2Rvd25yZXYueG1sUEsF&#10;BgAAAAAEAAQA8wAAAPEFAAAAAA==&#10;" fillcolor="white [3201]" strokecolor="#0070c0" strokeweight="2pt">
                      <v:textbox>
                        <w:txbxContent>
                          <w:p w:rsidR="00C96C99" w:rsidRPr="00BD5C08" w:rsidRDefault="00C96C99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อัพไฟล์จากเวียน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ฝากไฟล์ใส่เว็บ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6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https://www.nesdc.go.th/article_attach/article_file_20210427135205.pdf</w:t>
              </w:r>
            </w:hyperlink>
          </w:p>
          <w:p w:rsidR="00C96C99" w:rsidRPr="00F70D1E" w:rsidRDefault="00C96C99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77D66E8" wp14:editId="60E19D5C">
                      <wp:simplePos x="0" y="0"/>
                      <wp:positionH relativeFrom="column">
                        <wp:posOffset>-1776095</wp:posOffset>
                      </wp:positionH>
                      <wp:positionV relativeFrom="paragraph">
                        <wp:posOffset>173355</wp:posOffset>
                      </wp:positionV>
                      <wp:extent cx="1590675" cy="5524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./พบ.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ขอข้อมูลที่มีปี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139.85pt;margin-top:13.65pt;width:125.25pt;height:4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7McwIAADIFAAAOAAAAZHJzL2Uyb0RvYy54bWysVEtvGjEQvlfqf7B8bxYQ5IGyRDRRqkpR&#10;EjVUORuvDavaHtce2KW/vmMvbGjKqepl1573N/ONr29aa9hWhViDK/nwbMCZchKq2q1K/n1x/+mS&#10;s4jCVcKAUyXfqchvZh8/XDd+qkawBlOpwCiIi9PGl3yN6KdFEeVaWRHPwCtHSg3BCqRrWBVVEA1F&#10;t6YYDQbnRQOh8gGkipGkd52Sz3J8rZXEJ62jQmZKTrVh/ob8XaZvMbsW01UQfl3LfRniH6qwonaU&#10;tA91J1CwTaj/CmVrGSCCxjMJtgCta6kyBkIzHLxD87IWXmUs1Jzo+zbF/xdWPm6fA6urktOgnLA0&#10;ooVqkX2Gll2m7jQ+TsnoxZMZtiSmKR/kkYQJdKuDTX+Cw0hPfd71vU3BZHKaXA3OLyacSdJNJqPx&#10;JDe/ePP2IeIXBZalQ8kDzS63VGwfIlIlZHowScmMS7JUXldGPuHOqE75TWmCRYlHOUgmlLo1gW0F&#10;UUFIqRyOEhAKaxxZJzddG9M7Dk85GszoyWlvm9xUJlrvODjl+GfG3iNnBYe9s60dhFMBqh995s7+&#10;gL7DnOBju2zzLDOwJFlCtaPBBeiIH728r6m7DyLiswjEdJoVbS8+0UcbaEoO+xNnawi/TsmTPRGQ&#10;tJw1tDkljz83IijOzFdH1Lwajsdp1fJlPLkY0SUca5bHGrext0ATGdI74WU+Jns0h6MOYF9pyecp&#10;K6mEk5S75Hg43mK3z/RISDWfZyNaLi/wwb14mUKnLifuLNpXEfyeYEjUfITDjonpO551tsnTwXyD&#10;oOtMwreu7vtPi5lJtH9E0uYf37PV21M3+w0AAP//AwBQSwMEFAAGAAgAAAAhAE2xyBfhAAAACwEA&#10;AA8AAABkcnMvZG93bnJldi54bWxMj8FOwzAQRO9I/IO1SNxSpy4iJI1TISQuiB5aKqTe3NiNo8br&#10;EDtN+HuWExxX8zTzttzMrmNXM4TWo4TlIgVmsPa6xUbC4eM1eQIWokKtOo9GwrcJsKlub0pVaD/h&#10;zlz3sWFUgqFQEmyMfcF5qK1xKix8b5Cysx+cinQODdeDmqjcdVyk6SN3qkVasKo3L9bUl/3oJKA4&#10;fo2f+dvxcpisE1tr37vtTsr7u/l5DSyaOf7B8KtP6lCR08mPqAPrJCQiyzNiJYhsBYyIROQC2InQ&#10;5cMKeFXy/z9UPwAAAP//AwBQSwECLQAUAAYACAAAACEAtoM4kv4AAADhAQAAEwAAAAAAAAAAAAAA&#10;AAAAAAAAW0NvbnRlbnRfVHlwZXNdLnhtbFBLAQItABQABgAIAAAAIQA4/SH/1gAAAJQBAAALAAAA&#10;AAAAAAAAAAAAAC8BAABfcmVscy8ucmVsc1BLAQItABQABgAIAAAAIQBtNl7McwIAADIFAAAOAAAA&#10;AAAAAAAAAAAAAC4CAABkcnMvZTJvRG9jLnhtbFBLAQItABQABgAIAAAAIQBNscgX4QAAAAsBAAAP&#10;AAAAAAAAAAAAAAAAAM0EAABkcnMvZG93bnJldi54bWxQSwUGAAAAAAQABADzAAAA2wUAAAAA&#10;" fillcolor="white [3201]" strokecolor="#c0504d [3205]" strokeweight="2pt">
                      <v:textbox>
                        <w:txbxContent>
                          <w:p w:rsidR="00C96C99" w:rsidRPr="00BD5C08" w:rsidRDefault="00C96C99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./พบ.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ขอข้อมูลที่มีปี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7" w:history="1">
              <w:r w:rsidRPr="007210B9">
                <w:rPr>
                  <w:rStyle w:val="Hyperlink"/>
                  <w:highlight w:val="yellow"/>
                </w:rPr>
                <w:t>https://www.nesdc.go.th/article_attach/article_file_</w:t>
              </w:r>
              <w:r w:rsidRPr="007210B9">
                <w:rPr>
                  <w:rStyle w:val="Hyperlink"/>
                  <w:highlight w:val="yellow"/>
                  <w:cs/>
                </w:rPr>
                <w:t>20190624163733.</w:t>
              </w:r>
              <w:r w:rsidRPr="007210B9">
                <w:rPr>
                  <w:rStyle w:val="Hyperlink"/>
                  <w:highlight w:val="yellow"/>
                </w:rPr>
                <w:t>pdf</w:t>
              </w:r>
            </w:hyperlink>
            <w:r w:rsidRPr="007210B9">
              <w:rPr>
                <w:rStyle w:val="Hyperlink"/>
                <w:rFonts w:hint="cs"/>
                <w:color w:val="FF0000"/>
                <w:highlight w:val="yellow"/>
                <w:cs/>
              </w:rPr>
              <w:t xml:space="preserve"> </w:t>
            </w:r>
          </w:p>
        </w:tc>
        <w:tc>
          <w:tcPr>
            <w:tcW w:w="1323" w:type="pct"/>
          </w:tcPr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แผนกลยุทธ์การบริหารทรัพยากรบุคคล </w:t>
            </w:r>
            <w:r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>ประจำปี พ.ศ.2561-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</w:p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แผนพัฒนาบุคลากร</w:t>
            </w:r>
            <w:r w:rsidRPr="00DE3657">
              <w:rPr>
                <w:color w:val="0000CC"/>
                <w:cs/>
              </w:rPr>
              <w:br/>
            </w:r>
          </w:p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แผนการพัฒนาศักยภาพบุคลากร สศช.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และแผนการใช้เงินงบประมาณ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โครงการพัฒนาศักยภาพบุคลากร สศช. </w:t>
            </w:r>
            <w:r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ประจำปีงบประมาณ 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  <w:r w:rsidRPr="00DE3657">
              <w:rPr>
                <w:color w:val="0000CC"/>
                <w:cs/>
              </w:rPr>
              <w:t xml:space="preserve"> </w:t>
            </w:r>
          </w:p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ประกาศเกณฑ์การรับสมัคร- ตำแหน่งต่างๆ</w:t>
            </w:r>
            <w:r w:rsidRPr="00DE3657">
              <w:rPr>
                <w:color w:val="0000CC"/>
                <w:cs/>
              </w:rPr>
              <w:br/>
            </w:r>
            <w:r>
              <w:rPr>
                <w:rFonts w:hint="cs"/>
                <w:color w:val="0000CC"/>
                <w:cs/>
              </w:rPr>
              <w:br/>
            </w:r>
          </w:p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DE3657">
              <w:rPr>
                <w:rFonts w:hint="cs"/>
                <w:color w:val="0000CC"/>
                <w:cs/>
              </w:rPr>
              <w:t xml:space="preserve">ประจำปี </w:t>
            </w:r>
            <w:r w:rsidRPr="00DE3657">
              <w:rPr>
                <w:rFonts w:hint="cs"/>
                <w:color w:val="0000CC"/>
                <w:highlight w:val="cyan"/>
                <w:cs/>
              </w:rPr>
              <w:t>256</w:t>
            </w:r>
            <w:r w:rsidRPr="00DE3657">
              <w:rPr>
                <w:color w:val="0000CC"/>
                <w:highlight w:val="cyan"/>
              </w:rPr>
              <w:t>4</w:t>
            </w:r>
            <w:r w:rsidRPr="00DE3657">
              <w:rPr>
                <w:rFonts w:hint="cs"/>
                <w:color w:val="0000CC"/>
                <w:cs/>
              </w:rPr>
              <w:t xml:space="preserve"> </w:t>
            </w:r>
            <w:r w:rsidRPr="00DE3657">
              <w:rPr>
                <w:color w:val="0000CC"/>
                <w:cs/>
              </w:rPr>
              <w:t>สศช.</w:t>
            </w:r>
          </w:p>
          <w:p w:rsidR="00C96C99" w:rsidRPr="00DE3657" w:rsidRDefault="00C96C99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DE3657">
              <w:rPr>
                <w:color w:val="0000CC"/>
                <w:highlight w:val="yellow"/>
                <w:cs/>
              </w:rPr>
              <w:t>สรุปรายละเอียดหลักสูตรฝึกอบรมและเกณฑ์การพัฒนาสมรรถนะตามระดับตำแหน่ง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>ภายใต้โครงการพัฒนาศักยภาพบุคลากร สศช.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 xml:space="preserve"> ในช่วงแผนพัฒนาเศรษฐกิจและสังคมแห่งชาติ ฉบับที่ 12 (พ.ศ. 2560-2564)</w:t>
            </w:r>
          </w:p>
        </w:tc>
        <w:tc>
          <w:tcPr>
            <w:tcW w:w="503" w:type="pct"/>
          </w:tcPr>
          <w:p w:rsidR="00C96C9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  <w:cs/>
              </w:rPr>
              <w:br/>
            </w:r>
          </w:p>
          <w:p w:rsidR="00C96C99" w:rsidRDefault="00C96C99" w:rsidP="00FD3E96">
            <w:pPr>
              <w:pStyle w:val="ListParagraph"/>
              <w:widowControl w:val="0"/>
              <w:tabs>
                <w:tab w:val="left" w:pos="316"/>
              </w:tabs>
              <w:ind w:left="316"/>
              <w:rPr>
                <w:color w:val="00B050"/>
              </w:rPr>
            </w:pPr>
            <w:r>
              <w:rPr>
                <w:color w:val="00B050"/>
                <w:cs/>
              </w:rPr>
              <w:br/>
            </w:r>
          </w:p>
          <w:p w:rsidR="00C96C99" w:rsidRPr="005238E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C96C9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96C99" w:rsidRPr="004F1324" w:rsidRDefault="00C96C99" w:rsidP="00DD4528">
            <w:pPr>
              <w:widowControl w:val="0"/>
              <w:ind w:left="-120" w:right="-113"/>
              <w:jc w:val="center"/>
            </w:pPr>
            <w:r w:rsidRPr="00A77D18">
              <w:rPr>
                <w:highlight w:val="yellow"/>
              </w:rPr>
              <w:t>o27</w:t>
            </w:r>
          </w:p>
        </w:tc>
        <w:tc>
          <w:tcPr>
            <w:tcW w:w="616" w:type="pct"/>
            <w:shd w:val="clear" w:color="auto" w:fill="auto"/>
          </w:tcPr>
          <w:p w:rsidR="00C96C99" w:rsidRPr="004F1324" w:rsidRDefault="00C96C99" w:rsidP="00DD4528">
            <w:pPr>
              <w:widowControl w:val="0"/>
            </w:pPr>
            <w:r w:rsidRPr="004F1324">
              <w:rPr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1231" w:type="pct"/>
          </w:tcPr>
          <w:p w:rsidR="00C96C99" w:rsidRPr="00530B95" w:rsidRDefault="00C96C99" w:rsidP="00DD4528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530B95">
              <w:rPr>
                <w:rFonts w:hint="cs"/>
                <w:color w:val="000000" w:themeColor="text1"/>
                <w:cs/>
              </w:rPr>
              <w:t>แสดงหลักเกณฑ์การบริหารและพัฒนาทรัพยากรบุคคลที่</w:t>
            </w:r>
            <w:r w:rsidRPr="00530B95">
              <w:rPr>
                <w:rFonts w:hint="cs"/>
                <w:color w:val="FF0000"/>
                <w:cs/>
              </w:rPr>
              <w:t>ยังใช้บังคับในหน่วยงานในปี พ.ศ. 2565</w:t>
            </w:r>
            <w:r>
              <w:rPr>
                <w:rFonts w:hint="cs"/>
                <w:color w:val="FF0000"/>
                <w:cs/>
              </w:rPr>
              <w:t xml:space="preserve">  </w:t>
            </w:r>
            <w:r w:rsidRPr="00530B95">
              <w:rPr>
                <w:rFonts w:hint="cs"/>
                <w:color w:val="000000" w:themeColor="text1"/>
                <w:cs/>
              </w:rPr>
              <w:t>อย่างน้อยประกอบด้วย</w:t>
            </w:r>
          </w:p>
          <w:p w:rsidR="00C96C99" w:rsidRPr="00530B95" w:rsidRDefault="00C96C99" w:rsidP="00896DDC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การสรรหาและคัดเลือกบุคลากร</w:t>
            </w:r>
          </w:p>
          <w:p w:rsidR="00C96C99" w:rsidRPr="00530B95" w:rsidRDefault="00C96C99" w:rsidP="00896DDC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การบรรจุและแต่งตั้งบุคลากร</w:t>
            </w:r>
          </w:p>
          <w:p w:rsidR="00C96C99" w:rsidRPr="00530B95" w:rsidRDefault="00C96C99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การพัฒนาบุคลากร</w:t>
            </w:r>
          </w:p>
          <w:p w:rsidR="00C96C99" w:rsidRPr="00530B95" w:rsidRDefault="00C96C99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การประเมินผลการปฏิบัติงานบุคลากร</w:t>
            </w:r>
          </w:p>
          <w:p w:rsidR="00C96C99" w:rsidRPr="00530B95" w:rsidRDefault="00C96C99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การให้คุณให้โทษและการสร้างขวัญกำลังใจ</w:t>
            </w:r>
          </w:p>
          <w:p w:rsidR="00C96C99" w:rsidRPr="004525A2" w:rsidRDefault="00C96C99" w:rsidP="00DD4528">
            <w:pPr>
              <w:widowControl w:val="0"/>
              <w:rPr>
                <w:sz w:val="28"/>
                <w:szCs w:val="28"/>
                <w:cs/>
              </w:rPr>
            </w:pPr>
            <w:r w:rsidRPr="004525A2">
              <w:rPr>
                <w:rFonts w:hint="cs"/>
                <w:sz w:val="28"/>
                <w:szCs w:val="28"/>
                <w:cs/>
              </w:rPr>
              <w:t>*กรณีหน่วยงานใช้หลักเกณฑ์ขององค์กรกลางบริหารงานบุคคลหน่วยงาน สามารถ</w:t>
            </w:r>
            <w:r>
              <w:rPr>
                <w:rFonts w:hint="cs"/>
                <w:sz w:val="28"/>
                <w:szCs w:val="28"/>
                <w:cs/>
              </w:rPr>
              <w:t>นำหลักเ</w:t>
            </w:r>
            <w:r w:rsidRPr="004525A2">
              <w:rPr>
                <w:rFonts w:hint="cs"/>
                <w:sz w:val="28"/>
                <w:szCs w:val="28"/>
                <w:cs/>
              </w:rPr>
              <w:t>กณฑ์ดังกล่าวเผยแพร่บนเว็บไซต์ของหน่วยงาน</w:t>
            </w:r>
          </w:p>
        </w:tc>
        <w:tc>
          <w:tcPr>
            <w:tcW w:w="1195" w:type="pct"/>
          </w:tcPr>
          <w:p w:rsidR="00C96C99" w:rsidRPr="00E03F86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18" w:history="1">
              <w:r w:rsidRPr="00D30CEB">
                <w:rPr>
                  <w:rStyle w:val="Hyperlink"/>
                </w:rPr>
                <w:t>https://www.nesdc.go.th/article_attach/article_file_20210427135300.pdf</w:t>
              </w:r>
            </w:hyperlink>
          </w:p>
          <w:p w:rsidR="00C96C99" w:rsidRPr="00CE705B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highlight w:val="cyan"/>
                <w:u w:val="single"/>
              </w:rPr>
            </w:pPr>
            <w:hyperlink r:id="rId19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https://www.nesdc.go.th/article_attach/article_file_20210427135235.pdf</w:t>
              </w:r>
            </w:hyperlink>
          </w:p>
          <w:p w:rsidR="00C96C99" w:rsidRPr="00E03F86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0" w:history="1">
              <w:r w:rsidRPr="00202202">
                <w:rPr>
                  <w:rStyle w:val="Hyperlink"/>
                  <w:highlight w:val="cyan"/>
                </w:rPr>
                <w:t>https://www.nesdc.go.th/article_attach/article_file_20210427135412.pd</w:t>
              </w:r>
              <w:r w:rsidRPr="00D30CEB">
                <w:rPr>
                  <w:rStyle w:val="Hyperlink"/>
                </w:rPr>
                <w:t>f</w:t>
              </w:r>
            </w:hyperlink>
          </w:p>
          <w:p w:rsidR="00C96C99" w:rsidRPr="00A77D18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21" w:history="1">
              <w:r w:rsidRPr="00A77D18">
                <w:rPr>
                  <w:rStyle w:val="Hyperlink"/>
                  <w:highlight w:val="yellow"/>
                </w:rPr>
                <w:t>https://www.nesdc.go.th/article_attach/article_file_20210427135334.pdf</w:t>
              </w:r>
            </w:hyperlink>
          </w:p>
          <w:p w:rsidR="00C96C99" w:rsidRPr="005A2A13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2" w:history="1">
              <w:r w:rsidRPr="00AA5F59">
                <w:rPr>
                  <w:rStyle w:val="Hyperlink"/>
                </w:rPr>
                <w:t>https://www.nesdc.go.th/ewt_dl_link.php?nid=</w:t>
              </w:r>
              <w:r w:rsidRPr="00AA5F59">
                <w:rPr>
                  <w:rStyle w:val="Hyperlink"/>
                  <w:cs/>
                </w:rPr>
                <w:t>7682</w:t>
              </w:r>
            </w:hyperlink>
          </w:p>
          <w:p w:rsidR="00C96C99" w:rsidRPr="005A2A13" w:rsidRDefault="00C96C99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3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20190624163733.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C96C99" w:rsidRPr="003F05FE" w:rsidRDefault="00C96C99" w:rsidP="00CE705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4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20210427135956.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</w:p>
        </w:tc>
        <w:tc>
          <w:tcPr>
            <w:tcW w:w="1323" w:type="pct"/>
          </w:tcPr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ประกาศ</w:t>
            </w:r>
            <w:r w:rsidRPr="00B12DAB">
              <w:rPr>
                <w:color w:val="0000CC"/>
              </w:rPr>
              <w:t xml:space="preserve"> </w:t>
            </w:r>
            <w:r w:rsidRPr="00B12DAB">
              <w:rPr>
                <w:rFonts w:hint="cs"/>
                <w:color w:val="0000CC"/>
                <w:cs/>
              </w:rPr>
              <w:t>สศช.</w:t>
            </w:r>
            <w:r w:rsidRPr="00B12DAB">
              <w:rPr>
                <w:color w:val="0000CC"/>
                <w:cs/>
              </w:rPr>
              <w:t xml:space="preserve"> เรื่อง การกำหนดประสบการณ์ในงานที่หลากหลายตาม</w:t>
            </w:r>
            <w:r w:rsidRPr="00B12DAB">
              <w:rPr>
                <w:rFonts w:hint="cs"/>
                <w:color w:val="0000CC"/>
                <w:cs/>
              </w:rPr>
              <w:t>มาตร</w:t>
            </w:r>
            <w:r w:rsidRPr="00B12DAB">
              <w:rPr>
                <w:color w:val="0000CC"/>
                <w:cs/>
              </w:rPr>
              <w:t>ฐานกำหนดตำแหน่งประเภทอำนวยการ</w:t>
            </w:r>
            <w:r w:rsidRPr="00B12DAB">
              <w:rPr>
                <w:rFonts w:hint="cs"/>
                <w:color w:val="0000CC"/>
                <w:cs/>
              </w:rPr>
              <w:t>ของ สศช.</w:t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B12DAB">
              <w:rPr>
                <w:rFonts w:hint="cs"/>
                <w:color w:val="0000CC"/>
                <w:cs/>
              </w:rPr>
              <w:t xml:space="preserve">ประจำปี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2564</w:t>
            </w:r>
            <w:r w:rsidRPr="00B12DAB">
              <w:rPr>
                <w:rFonts w:hint="cs"/>
                <w:color w:val="0000CC"/>
                <w:cs/>
              </w:rPr>
              <w:t xml:space="preserve"> </w:t>
            </w:r>
            <w:r w:rsidRPr="00B12DAB">
              <w:rPr>
                <w:color w:val="0000CC"/>
                <w:cs/>
              </w:rPr>
              <w:t>สศช.</w:t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cyan"/>
              </w:rPr>
            </w:pPr>
            <w:r w:rsidRPr="00B12DAB">
              <w:rPr>
                <w:color w:val="0000CC"/>
                <w:highlight w:val="cyan"/>
                <w:cs/>
              </w:rPr>
              <w:t>ประกาศ</w:t>
            </w:r>
            <w:r w:rsidRPr="00B12DAB">
              <w:rPr>
                <w:color w:val="0000CC"/>
                <w:highlight w:val="cyan"/>
              </w:rPr>
              <w:t xml:space="preserve">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สศช.</w:t>
            </w:r>
            <w:r w:rsidRPr="00B12DAB">
              <w:rPr>
                <w:color w:val="0000CC"/>
                <w:highlight w:val="cyan"/>
                <w:cs/>
              </w:rPr>
              <w:t xml:space="preserve"> เรื่อง</w:t>
            </w:r>
            <w:r w:rsidRPr="00B12DAB">
              <w:rPr>
                <w:rFonts w:hint="cs"/>
                <w:color w:val="0000CC"/>
                <w:highlight w:val="cyan"/>
                <w:cs/>
              </w:rPr>
              <w:t xml:space="preserve"> </w:t>
            </w:r>
            <w:r w:rsidRPr="00B12DAB">
              <w:rPr>
                <w:color w:val="0000CC"/>
                <w:highlight w:val="cyan"/>
                <w:cs/>
              </w:rPr>
              <w:t>รับสมัครคัดเลือกข้าราชการเข้ารับการประเมินบุคคลเพื่อแต่งตั้งให้ดำรงตำแหน่งประเภทวิชาการ ระดับเชี่ยวชาญ</w:t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B12DAB">
              <w:rPr>
                <w:color w:val="0000CC"/>
                <w:highlight w:val="yellow"/>
                <w:cs/>
              </w:rPr>
              <w:t xml:space="preserve">ประกาศ </w:t>
            </w:r>
            <w:proofErr w:type="spellStart"/>
            <w:r w:rsidRPr="00B12DAB">
              <w:rPr>
                <w:color w:val="0000CC"/>
                <w:highlight w:val="yellow"/>
                <w:cs/>
              </w:rPr>
              <w:t>อ.ก.พ</w:t>
            </w:r>
            <w:proofErr w:type="spellEnd"/>
            <w:r w:rsidRPr="00B12DAB">
              <w:rPr>
                <w:color w:val="0000CC"/>
                <w:highlight w:val="yellow"/>
                <w:cs/>
              </w:rPr>
              <w:t>.</w:t>
            </w:r>
            <w:r w:rsidRPr="00B12DAB">
              <w:rPr>
                <w:color w:val="0000CC"/>
                <w:highlight w:val="yellow"/>
              </w:rPr>
              <w:t xml:space="preserve"> </w:t>
            </w:r>
            <w:r w:rsidRPr="00B12DAB">
              <w:rPr>
                <w:color w:val="0000CC"/>
                <w:highlight w:val="yellow"/>
                <w:cs/>
              </w:rPr>
              <w:t>สศช. หลักเกณฑ์</w:t>
            </w:r>
            <w:r w:rsidRPr="00B12DAB">
              <w:rPr>
                <w:rFonts w:hint="cs"/>
                <w:color w:val="0000CC"/>
                <w:highlight w:val="yellow"/>
                <w:cs/>
              </w:rPr>
              <w:t>และวิธีการคัดเลือกบุคคลและประเมนผลการปฏิบัติงานฯ</w:t>
            </w:r>
            <w:r w:rsidRPr="00B12DAB">
              <w:rPr>
                <w:color w:val="0000CC"/>
                <w:highlight w:val="yellow"/>
                <w:cs/>
              </w:rPr>
              <w:t xml:space="preserve"> ระดับชำนาญงาน</w:t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หลักเกณฑ์การให้คุณให้โทษและการสร้าง</w:t>
            </w:r>
            <w:r w:rsidRPr="00B12DAB"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ขวัญกำลังใจ</w:t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สรุปรายละเอียดหลักสูตรฝึกอบรมและเกณฑ์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 xml:space="preserve">การพัฒนาสมรรถนะตามระดับตำแหน่งภายใต้โครงการพัฒนาศักยภาพบุคลากร สศช. ในช่วงแผนพัฒนาเศรษฐกิจและสังคมแห่งชาติ 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ฉบับที่ 12 (พ.ศ. 2560-</w:t>
            </w:r>
            <w:r w:rsidRPr="00B12DAB">
              <w:rPr>
                <w:color w:val="0000CC"/>
                <w:highlight w:val="cyan"/>
                <w:cs/>
              </w:rPr>
              <w:t>2564</w:t>
            </w:r>
            <w:r w:rsidRPr="00B12DAB">
              <w:rPr>
                <w:color w:val="0000CC"/>
                <w:cs/>
              </w:rPr>
              <w:t>)</w:t>
            </w:r>
            <w:r>
              <w:rPr>
                <w:rFonts w:hint="cs"/>
                <w:color w:val="0000CC"/>
                <w:cs/>
              </w:rPr>
              <w:br/>
            </w:r>
          </w:p>
          <w:p w:rsidR="00C96C99" w:rsidRPr="00B12DAB" w:rsidRDefault="00C96C99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12DAB">
              <w:rPr>
                <w:color w:val="0000CC"/>
                <w:cs/>
              </w:rPr>
              <w:t xml:space="preserve">การประเมินคุณลักษณะที่พึงประสงค์เพื่อคัดเลือกข้าราชการเข้าสู่ระบบ </w:t>
            </w:r>
            <w:proofErr w:type="spellStart"/>
            <w:r w:rsidRPr="00B12DAB">
              <w:rPr>
                <w:color w:val="0000CC"/>
              </w:rPr>
              <w:t>HiPPS</w:t>
            </w:r>
            <w:proofErr w:type="spellEnd"/>
            <w:r w:rsidRPr="00B12DAB">
              <w:rPr>
                <w:color w:val="0000CC"/>
              </w:rPr>
              <w:t xml:space="preserve"> </w:t>
            </w:r>
            <w:r w:rsidRPr="00B12DAB">
              <w:rPr>
                <w:color w:val="0000CC"/>
                <w:cs/>
              </w:rPr>
              <w:t xml:space="preserve">รุ่นที่ </w:t>
            </w:r>
            <w:r w:rsidRPr="00B12DAB">
              <w:rPr>
                <w:color w:val="0000CC"/>
                <w:highlight w:val="cyan"/>
                <w:cs/>
              </w:rPr>
              <w:t>1</w:t>
            </w:r>
            <w:r w:rsidRPr="00B12DAB">
              <w:rPr>
                <w:color w:val="0000CC"/>
                <w:highlight w:val="cyan"/>
              </w:rPr>
              <w:t>7</w:t>
            </w:r>
          </w:p>
        </w:tc>
        <w:tc>
          <w:tcPr>
            <w:tcW w:w="503" w:type="pct"/>
          </w:tcPr>
          <w:p w:rsidR="00C96C99" w:rsidRPr="00EF7EBB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C96C99" w:rsidRPr="005238E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C96C9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96C99" w:rsidRPr="004F1324" w:rsidRDefault="00C96C99" w:rsidP="00CE705B">
            <w:pPr>
              <w:widowControl w:val="0"/>
              <w:ind w:left="-120" w:right="-113"/>
              <w:jc w:val="center"/>
            </w:pPr>
            <w:r w:rsidRPr="00870239">
              <w:rPr>
                <w:highlight w:val="yellow"/>
              </w:rPr>
              <w:t>o28</w:t>
            </w:r>
          </w:p>
        </w:tc>
        <w:tc>
          <w:tcPr>
            <w:tcW w:w="616" w:type="pct"/>
            <w:shd w:val="clear" w:color="auto" w:fill="auto"/>
          </w:tcPr>
          <w:p w:rsidR="00C96C99" w:rsidRPr="004F1324" w:rsidRDefault="00C96C99" w:rsidP="00CE705B">
            <w:pPr>
              <w:widowControl w:val="0"/>
            </w:pPr>
            <w:r w:rsidRPr="004F1324">
              <w:rPr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231" w:type="pct"/>
          </w:tcPr>
          <w:p w:rsidR="00C96C99" w:rsidRPr="004F1324" w:rsidRDefault="00C96C99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</w:pPr>
            <w:r w:rsidRPr="004F1324">
              <w:t>o</w:t>
            </w:r>
            <w:r w:rsidRPr="004F1324">
              <w:tab/>
            </w: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ผลการบริหารและพัฒนาทรัพยากรบุคคล</w:t>
            </w:r>
          </w:p>
          <w:p w:rsidR="00C96C99" w:rsidRPr="004F1324" w:rsidRDefault="00C96C99" w:rsidP="00CE705B">
            <w:r w:rsidRPr="004F1324">
              <w:t>o</w:t>
            </w:r>
            <w:r w:rsidRPr="004F1324">
              <w:rPr>
                <w:cs/>
              </w:rPr>
              <w:t xml:space="preserve"> 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รายละเอียดของการดำเนินการ </w:t>
            </w:r>
            <w:r>
              <w:rPr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ผลการดำเนินการตามนโยบายการบริหารทรัพยากรบุคคล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ปัญหา อุปสรรค และข้อเสนอแนะผลการวิเคราะห์การบริหารและพัฒนาทรัพยากรบุคคล</w:t>
            </w:r>
          </w:p>
          <w:p w:rsidR="00C96C99" w:rsidRPr="00C934E4" w:rsidRDefault="00C96C99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FF0000"/>
              </w:rPr>
            </w:pPr>
            <w:r w:rsidRPr="00C934E4">
              <w:rPr>
                <w:color w:val="FF0000"/>
              </w:rPr>
              <w:t>o</w:t>
            </w:r>
            <w:r w:rsidRPr="00C934E4">
              <w:rPr>
                <w:color w:val="FF0000"/>
                <w:cs/>
              </w:rPr>
              <w:t xml:space="preserve"> </w:t>
            </w:r>
            <w:r w:rsidRPr="00C934E4">
              <w:rPr>
                <w:rFonts w:hint="cs"/>
                <w:color w:val="FF0000"/>
                <w:cs/>
              </w:rPr>
              <w:t>เป็นรายงานผล</w:t>
            </w:r>
            <w:r>
              <w:rPr>
                <w:color w:val="FF0000"/>
                <w:cs/>
              </w:rPr>
              <w:t>ของปี</w:t>
            </w:r>
            <w:r w:rsidRPr="00C934E4">
              <w:rPr>
                <w:color w:val="FF0000"/>
                <w:cs/>
              </w:rPr>
              <w:t xml:space="preserve"> พ.ศ. 256</w:t>
            </w:r>
            <w:r w:rsidRPr="00C934E4">
              <w:rPr>
                <w:rFonts w:hint="cs"/>
                <w:color w:val="FF0000"/>
                <w:cs/>
              </w:rPr>
              <w:t>4</w:t>
            </w:r>
          </w:p>
          <w:p w:rsidR="00C96C99" w:rsidRPr="004F1324" w:rsidRDefault="00C96C99" w:rsidP="00CE705B">
            <w:pPr>
              <w:widowControl w:val="0"/>
            </w:pPr>
          </w:p>
        </w:tc>
        <w:tc>
          <w:tcPr>
            <w:tcW w:w="1195" w:type="pct"/>
          </w:tcPr>
          <w:p w:rsidR="00C96C99" w:rsidRPr="00870239" w:rsidRDefault="00C96C99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olor w:val="FF0000"/>
                <w:highlight w:val="yellow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A5EAC69" wp14:editId="2D0917C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21961</wp:posOffset>
                      </wp:positionV>
                      <wp:extent cx="2257425" cy="5715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รายงานปี 2564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3.85pt;margin-top:1.75pt;width:177.75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vocwIAADIFAAAOAAAAZHJzL2Uyb0RvYy54bWysVN9v0zAQfkfif7D8TtNGLYNq6VQ6DSFN&#10;27QN7dl17DXC9hn72qT89ZydNhujT4iXxL7f3913Pr/orGE7FWIDruKT0Zgz5STUjXuu+PfHqw+f&#10;OIsoXC0MOFXxvYr8YvH+3Xnr56qEDZhaBUZBXJy3vuIbRD8viig3yoo4Aq8cKTUEK5Cu4bmog2gp&#10;ujVFOR5/LFoItQ8gVYwkveyVfJHja60k3modFTJTcaoN8zfk7zp9i8W5mD8H4TeNPJQh/qEKKxpH&#10;SYdQlwIF24bmr1C2kQEiaBxJsAVo3UiVMRCayfgNmoeN8CpjoeZEP7Qp/r+w8mZ3F1hTV3zGmROW&#10;RvSoOmRfoGOz1J3WxzkZPXgyw47ENOWjPJIwge50sOlPcBjpqc/7obcpmCRhWc7OpiUlkaSbnU1m&#10;49z84sXbh4hfFViWDhUPNLvcUrG7jkiVkOnRJCUzLslSeX0Z+YR7o3rlvdIEKyXOQTKh1MoEthNE&#10;BSGlclgmIBTWOLJObroxZnCcnHI0mNGT08E2ualMtMFxfMrxz4yDR84KDgdn2zgIpwLUP4bMvf0R&#10;fY85wcdu3eVZDhNaQ72nwQXoiR+9vGqou9ci4p0IxHSaFW0v3tJHG2grDocTZxsIv07Jkz0RkLSc&#10;tbQ5FY8/tyIozsw3R9T8PJlO06rly3R2VtIlvNasX2vc1q6AJjKhd8LLfEz2aI5HHcA+0ZIvU1ZS&#10;CScpd8XxeFxhv8/0SEi1XGYjWi4v8No9eJlCpy4n7jx2TyL4A8GQqHkDxx0T8zc8622Tp4PlFkE3&#10;mYSpz31XD/2nxcwkOjwiafNf37PVy1O3+A0AAP//AwBQSwMEFAAGAAgAAAAhAMLp9CDeAAAABwEA&#10;AA8AAABkcnMvZG93bnJldi54bWxMj8FOwzAQRO9I/IO1SNxahxQITeNUCIkLooeWCqk3N97GUeN1&#10;iJ0m/D3LCY6zM5p5W6wn14oL9qHxpOBunoBAqrxpqFaw/3idPYEIUZPRrSdU8I0B1uX1VaFz40fa&#10;4mUXa8ElFHKtwMbY5VKGyqLTYe47JPZOvnc6suxraXo9crlrZZokj9LphnjB6g5fLFbn3eAUUHr4&#10;Gj6Xb4fzfrQu3Vj73m62St3eTM8rEBGn+BeGX3xGh5KZjn4gE0SrYJZlnFSweADB9uI+40+OCpZ8&#10;kGUh//OXPwAAAP//AwBQSwECLQAUAAYACAAAACEAtoM4kv4AAADhAQAAEwAAAAAAAAAAAAAAAAAA&#10;AAAAW0NvbnRlbnRfVHlwZXNdLnhtbFBLAQItABQABgAIAAAAIQA4/SH/1gAAAJQBAAALAAAAAAAA&#10;AAAAAAAAAC8BAABfcmVscy8ucmVsc1BLAQItABQABgAIAAAAIQCq8AvocwIAADIFAAAOAAAAAAAA&#10;AAAAAAAAAC4CAABkcnMvZTJvRG9jLnhtbFBLAQItABQABgAIAAAAIQDC6fQg3gAAAAcBAAAPAAAA&#10;AAAAAAAAAAAAAM0EAABkcnMvZG93bnJldi54bWxQSwUGAAAAAAQABADzAAAA2AUAAAAA&#10;" fillcolor="white [3201]" strokecolor="#c0504d [3205]" strokeweight="2pt">
                      <v:textbox>
                        <w:txbxContent>
                          <w:p w:rsidR="00C96C99" w:rsidRPr="00BD5C08" w:rsidRDefault="00C96C99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รายงานปี 2564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0239">
              <w:rPr>
                <w:rFonts w:hint="cs"/>
                <w:highlight w:val="yellow"/>
                <w:cs/>
              </w:rPr>
              <w:t xml:space="preserve">.............เปิดลิงค์ไว้ที่หน้าเว็บ </w:t>
            </w:r>
            <w:proofErr w:type="spellStart"/>
            <w:r w:rsidRPr="00870239">
              <w:rPr>
                <w:rFonts w:hint="cs"/>
                <w:highlight w:val="yellow"/>
                <w:cs/>
              </w:rPr>
              <w:t>ศปท</w:t>
            </w:r>
            <w:proofErr w:type="spellEnd"/>
            <w:r w:rsidRPr="00870239">
              <w:rPr>
                <w:rFonts w:hint="cs"/>
                <w:highlight w:val="yellow"/>
                <w:cs/>
              </w:rPr>
              <w:t>...............</w:t>
            </w:r>
            <w:r w:rsidRPr="00870239">
              <w:rPr>
                <w:rStyle w:val="Hyperlink"/>
                <w:color w:val="FF0000"/>
                <w:highlight w:val="yellow"/>
                <w:cs/>
              </w:rPr>
              <w:br/>
            </w:r>
          </w:p>
          <w:p w:rsidR="00C96C99" w:rsidRPr="00104515" w:rsidRDefault="00C96C99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4B7C9C">
              <w:rPr>
                <w:rStyle w:val="Hyperlink"/>
                <w:highlight w:val="yellow"/>
              </w:rPr>
              <w:t>https://www.nesdc.go.th/ewt_dl_link.php?nid=</w:t>
            </w:r>
            <w:r w:rsidRPr="004B7C9C">
              <w:rPr>
                <w:rStyle w:val="Hyperlink"/>
                <w:highlight w:val="yellow"/>
                <w:cs/>
              </w:rPr>
              <w:t>11400</w:t>
            </w:r>
          </w:p>
        </w:tc>
        <w:tc>
          <w:tcPr>
            <w:tcW w:w="1323" w:type="pct"/>
          </w:tcPr>
          <w:p w:rsidR="00C96C99" w:rsidRPr="00CE705B" w:rsidRDefault="00C96C99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E705B">
              <w:rPr>
                <w:color w:val="0000CC"/>
                <w:cs/>
              </w:rPr>
              <w:t xml:space="preserve">รายงานผลการบริหารทรัพยากรบุคคล สศช. 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rFonts w:hint="cs"/>
                <w:color w:val="0000CC"/>
                <w:highlight w:val="yellow"/>
                <w:cs/>
              </w:rPr>
              <w:t>4</w:t>
            </w:r>
            <w:r w:rsidRPr="00CE705B">
              <w:rPr>
                <w:rFonts w:hint="cs"/>
                <w:color w:val="0000CC"/>
                <w:cs/>
              </w:rPr>
              <w:t xml:space="preserve"> </w:t>
            </w:r>
          </w:p>
          <w:p w:rsidR="00C96C99" w:rsidRPr="00CE705B" w:rsidRDefault="00C96C99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0E11843" wp14:editId="666C915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946785</wp:posOffset>
                      </wp:positionV>
                      <wp:extent cx="2340610" cy="582930"/>
                      <wp:effectExtent l="0" t="0" r="2159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C99" w:rsidRPr="00BD5C08" w:rsidRDefault="00C96C99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11.65pt;margin-top:74.55pt;width:184.3pt;height:45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FQcgIAAC0FAAAOAAAAZHJzL2Uyb0RvYy54bWysVF1P2zAUfZ+0/2D5faQthUFFijoQ0yQ0&#10;0GDi2XVsGs3x9Wy3Sffrd+y0gbE+TXtJ7HvP/T7XF5ddY9hG+VCTLfn4aMSZspKq2j6X/PvjzYcz&#10;zkIUthKGrCr5VgV+OX//7qJ1MzWhFZlKeQYnNsxaV/JVjG5WFEGuVCPCETllodTkGxFx9c9F5UUL&#10;740pJqPRadGSr5wnqUKA9LpX8nn2r7WS8U7roCIzJUduMX99/i7Tt5hfiNmzF25Vy10a4h+yaERt&#10;EXRwdS2iYGtf/+WqqaWnQDoeSWoK0rqWKteAasajN9U8rIRTuRY0J7ihTeH/uZVfN/ee1RVmh0lZ&#10;0WBGj6qL7BN1DCL0p3VhBtiDAzB2kAO7lwcIU9md9k36oyAGPTq9HbqbvEkIJ8fT0ekYKgndydnk&#10;/Di3v3ixdj7Ez4oalg4l95hebqrY3IaITADdQ1IwY5MspdenkU9xa1Sv/KY0CkuBs5NMKXVlPNsI&#10;kEFIqWycpELg1ligk5mujRkMx4cMTczVw2iHTWYqU20wHB0y/DPiYJGjko2DcVNb8occVD+GyD1+&#10;X31fcyo/dstuN7IlVVtMzFPP+eDkTY223ooQ74UHyTEJLG68w0cbaktOuxNnK/K/DskTHtyDlrMW&#10;S1Py8HMtvOLMfLFg5fl4Ok1bli/Tk48TXPxrzfK1xq6bK8IoxnginMzHhI9mf9Semifs9yJFhUpY&#10;idglj/vjVexXGe+DVItFBmGvnIi39sHJ5Dq1N5HmsXsS3u2YFcHJr7RfLzF7Q7AemywtLdaRdJ3Z&#10;lxrcd3XXeOxkZs/u/UhL//qeUS+v3Pw3AAAA//8DAFBLAwQUAAYACAAAACEAA+8uXt8AAAAKAQAA&#10;DwAAAGRycy9kb3ducmV2LnhtbEyPy07DMBBF90j8gzVI7KjzqBAOcSqExAbRRUuF1J0bmziqPQ6x&#10;04S/Z1jBcuYe3TlTbxbv2MWMsQ8oIV9lwAy2QffYSTi8v9w9AItJoVYuoJHwbSJsmuurWlU6zLgz&#10;l33qGJVgrJQEm9JQcR5ba7yKqzAYpOwzjF4lGseO61HNVO4dL7LsnnvVI12wajDP1rTn/eQlYHH8&#10;mj7E6/F8mK0vtta+ue1Oytub5ekRWDJL+oPhV5/UoSGnU5hQR+YkFGVJJO3XIgdGQClyAexEyToT&#10;wJua/3+h+QEAAP//AwBQSwECLQAUAAYACAAAACEAtoM4kv4AAADhAQAAEwAAAAAAAAAAAAAAAAAA&#10;AAAAW0NvbnRlbnRfVHlwZXNdLnhtbFBLAQItABQABgAIAAAAIQA4/SH/1gAAAJQBAAALAAAAAAAA&#10;AAAAAAAAAC8BAABfcmVscy8ucmVsc1BLAQItABQABgAIAAAAIQABxfFQcgIAAC0FAAAOAAAAAAAA&#10;AAAAAAAAAC4CAABkcnMvZTJvRG9jLnhtbFBLAQItABQABgAIAAAAIQAD7y5e3wAAAAoBAAAPAAAA&#10;AAAAAAAAAAAAAMwEAABkcnMvZG93bnJldi54bWxQSwUGAAAAAAQABADzAAAA2AUAAAAA&#10;" fillcolor="white [3201]" strokecolor="#c0504d [3205]" strokeweight="2pt">
                      <v:textbox>
                        <w:txbxContent>
                          <w:p w:rsidR="00C96C99" w:rsidRPr="00BD5C08" w:rsidRDefault="00C96C99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705B">
              <w:rPr>
                <w:color w:val="0000CC"/>
                <w:cs/>
              </w:rPr>
              <w:t xml:space="preserve">รายงานประจำปี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สศช. รายงานผล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การพัฒนาทรัพยากรบุคคล สศช. 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 (</w:t>
            </w:r>
            <w:r w:rsidRPr="00CE705B">
              <w:rPr>
                <w:color w:val="0000CC"/>
                <w:highlight w:val="yellow"/>
                <w:cs/>
              </w:rPr>
              <w:t xml:space="preserve">หัวข้อการเพิ่มศักยภาพและขีดความสามารถบุคลากร หน้า </w:t>
            </w:r>
            <w:r w:rsidRPr="00CE705B">
              <w:rPr>
                <w:color w:val="0000CC"/>
                <w:highlight w:val="yellow"/>
              </w:rPr>
              <w:t>…</w:t>
            </w:r>
            <w:r>
              <w:rPr>
                <w:rFonts w:hint="cs"/>
                <w:noProof/>
                <w:color w:val="009242"/>
              </w:rPr>
              <w:t xml:space="preserve"> </w:t>
            </w:r>
            <w:r w:rsidRPr="00CE705B">
              <w:rPr>
                <w:color w:val="0000CC"/>
                <w:highlight w:val="yellow"/>
              </w:rPr>
              <w:t>…….</w:t>
            </w:r>
            <w:r w:rsidRPr="00CE705B">
              <w:rPr>
                <w:color w:val="0000CC"/>
                <w:highlight w:val="yellow"/>
                <w:cs/>
              </w:rPr>
              <w:t>)</w:t>
            </w:r>
          </w:p>
        </w:tc>
        <w:tc>
          <w:tcPr>
            <w:tcW w:w="503" w:type="pct"/>
          </w:tcPr>
          <w:p w:rsidR="00C96C9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C96C9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  <w:p w:rsidR="00C96C99" w:rsidRPr="005238E9" w:rsidRDefault="00C96C99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8B78B3" w:rsidRDefault="008B78B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D19E1" w:rsidRDefault="007D19E1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7D19E1" w:rsidSect="00AD7F8E">
      <w:headerReference w:type="even" r:id="rId25"/>
      <w:headerReference w:type="default" r:id="rId26"/>
      <w:footerReference w:type="default" r:id="rId27"/>
      <w:pgSz w:w="16839" w:h="11907" w:orient="landscape" w:code="9"/>
      <w:pgMar w:top="709" w:right="1134" w:bottom="709" w:left="1134" w:header="284" w:footer="34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294571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294571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294571">
          <w:rPr>
            <w:rFonts w:ascii="TH SarabunPSK" w:hAnsi="TH SarabunPSK" w:cs="TH SarabunPSK"/>
            <w:noProof/>
            <w:sz w:val="28"/>
            <w:lang w:val="th-TH"/>
          </w:rPr>
          <w:t>4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5pt;height:11.5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457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65D3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E5D17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3FE2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19E1"/>
    <w:rsid w:val="007D2F5F"/>
    <w:rsid w:val="007D3A3F"/>
    <w:rsid w:val="007D4C7B"/>
    <w:rsid w:val="007D5748"/>
    <w:rsid w:val="007D738C"/>
    <w:rsid w:val="007E0345"/>
    <w:rsid w:val="007E1EF3"/>
    <w:rsid w:val="007E408E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08C8"/>
    <w:rsid w:val="00861608"/>
    <w:rsid w:val="00861FC3"/>
    <w:rsid w:val="00862431"/>
    <w:rsid w:val="00863F69"/>
    <w:rsid w:val="00865697"/>
    <w:rsid w:val="008666D7"/>
    <w:rsid w:val="00866AFC"/>
    <w:rsid w:val="0087023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37D2E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D7F8E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5A1D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BF6DAC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96C99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3A2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5C21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D72DD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57866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sdc.go.th/more_news.php?cid=356&amp;filename=index" TargetMode="External"/><Relationship Id="rId18" Type="http://schemas.openxmlformats.org/officeDocument/2006/relationships/hyperlink" Target="https://www.nesdc.go.th/article_attach/article_file_20210427135300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nesdc.go.th/article_attach/article_file_2021042713533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esdc.go.th/ewt_dl_link.php?nid=10397" TargetMode="External"/><Relationship Id="rId17" Type="http://schemas.openxmlformats.org/officeDocument/2006/relationships/hyperlink" Target="https://www.nesdc.go.th/article_attach/article_file_20190624163733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esdc.go.th/article_attach/article_file_20210427135205.pdf" TargetMode="External"/><Relationship Id="rId20" Type="http://schemas.openxmlformats.org/officeDocument/2006/relationships/hyperlink" Target="https://www.nesdc.go.th/article_attach/article_file_20210427135412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km.nesdb.go.th/Announced/%E0%B8%99%E0%B9%82%E0%B8%A2%E0%B8%9A%E0%B8%B2%E0%B8%A2%E0%B8%9A%E0%B8%A3%E0%B8%B4%E0%B8%AB%E0%B8%B2%E0%B8%A3%E0%B8%97%E0%B8%A3%E0%B8%B1%E0%B8%9E%E0%B8%A2%E0%B8%B2%E0%B8%81%E0%B8%A3%E0%B8%9A%E0%B8%B8%E0%B8%84%E0%B8%84%E0%B8%A5.pdf" TargetMode="External"/><Relationship Id="rId24" Type="http://schemas.openxmlformats.org/officeDocument/2006/relationships/hyperlink" Target="https://www.nesdc.go.th/article_attach/article_file_2021042713595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esdc.go.th/more_news.php?cid=12" TargetMode="External"/><Relationship Id="rId23" Type="http://schemas.openxmlformats.org/officeDocument/2006/relationships/hyperlink" Target="https://www.nesdc.go.th/article_attach/article_file_2019062416373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esdc.go.th/more_news.php?cid=356&amp;filename=index" TargetMode="External"/><Relationship Id="rId19" Type="http://schemas.openxmlformats.org/officeDocument/2006/relationships/hyperlink" Target="https://www.nesdc.go.th/article_attach/article_file_2021042713523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ain.php?%20filename=nesdb_structure" TargetMode="External"/><Relationship Id="rId14" Type="http://schemas.openxmlformats.org/officeDocument/2006/relationships/hyperlink" Target="https://www.nesdc.go.th/article_attach/article_file_20210506162140.pdf" TargetMode="External"/><Relationship Id="rId22" Type="http://schemas.openxmlformats.org/officeDocument/2006/relationships/hyperlink" Target="https://www.nesdc.go.th/ewt_dl_link.php?nid=7682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B1FF-E4EC-4D27-BBD1-147E62CC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14</cp:revision>
  <cp:lastPrinted>2022-03-21T08:03:00Z</cp:lastPrinted>
  <dcterms:created xsi:type="dcterms:W3CDTF">2022-03-17T08:22:00Z</dcterms:created>
  <dcterms:modified xsi:type="dcterms:W3CDTF">2022-03-21T08:04:00Z</dcterms:modified>
</cp:coreProperties>
</file>